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>人员进出及体温监测登记表</w:t>
      </w:r>
    </w:p>
    <w:tbl>
      <w:tblPr>
        <w:tblStyle w:val="8"/>
        <w:tblW w:w="12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65"/>
        <w:gridCol w:w="1530"/>
        <w:gridCol w:w="1530"/>
        <w:gridCol w:w="1170"/>
        <w:gridCol w:w="3455"/>
        <w:gridCol w:w="2614"/>
      </w:tblGrid>
      <w:tr>
        <w:trPr>
          <w:trHeight w:val="1149" w:hRule="atLeast"/>
        </w:trPr>
        <w:tc>
          <w:tcPr>
            <w:tcW w:w="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人员姓名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进入时间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3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rPr>
          <w:trHeight w:val="580" w:hRule="atLeast"/>
        </w:trPr>
        <w:tc>
          <w:tcPr>
            <w:tcW w:w="896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80" w:hRule="atLeast"/>
        </w:trPr>
        <w:tc>
          <w:tcPr>
            <w:tcW w:w="896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80" w:hRule="atLeast"/>
        </w:trPr>
        <w:tc>
          <w:tcPr>
            <w:tcW w:w="896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90" w:hRule="atLeast"/>
        </w:trPr>
        <w:tc>
          <w:tcPr>
            <w:tcW w:w="896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对体温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37.3℃的</w:t>
      </w:r>
      <w:r>
        <w:rPr>
          <w:rFonts w:hint="eastAsia" w:ascii="仿宋_GB2312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人员进行登记。</w:t>
      </w: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>工作场所消毒和检查记录表</w:t>
      </w:r>
    </w:p>
    <w:tbl>
      <w:tblPr>
        <w:tblStyle w:val="8"/>
        <w:tblW w:w="12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220"/>
        <w:gridCol w:w="3165"/>
        <w:gridCol w:w="3608"/>
        <w:gridCol w:w="2499"/>
      </w:tblGrid>
      <w:tr>
        <w:trPr>
          <w:trHeight w:val="587" w:hRule="atLeast"/>
        </w:trPr>
        <w:tc>
          <w:tcPr>
            <w:tcW w:w="122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消毒时间</w:t>
            </w:r>
          </w:p>
        </w:tc>
        <w:tc>
          <w:tcPr>
            <w:tcW w:w="3165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消毒人员签名</w:t>
            </w:r>
          </w:p>
        </w:tc>
        <w:tc>
          <w:tcPr>
            <w:tcW w:w="360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检查人员签名</w:t>
            </w:r>
          </w:p>
        </w:tc>
        <w:tc>
          <w:tcPr>
            <w:tcW w:w="249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检查时间</w:t>
            </w:r>
          </w:p>
        </w:tc>
      </w:tr>
      <w:tr>
        <w:trPr>
          <w:trHeight w:val="587" w:hRule="atLeast"/>
        </w:trPr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jc w:val="left"/>
              <w:rPr>
                <w:rFonts w:hint="default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月 日 时 分</w:t>
            </w:r>
          </w:p>
        </w:tc>
        <w:tc>
          <w:tcPr>
            <w:tcW w:w="31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0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9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月 日 时 分</w:t>
            </w:r>
          </w:p>
        </w:tc>
      </w:tr>
      <w:tr>
        <w:trPr>
          <w:trHeight w:val="65" w:hRule="atLeast"/>
        </w:trPr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0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9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32" w:hRule="atLeast"/>
        </w:trPr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0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9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87" w:hRule="atLeast"/>
        </w:trPr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0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9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598" w:hRule="atLeast"/>
        </w:trPr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08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9" w:type="dxa"/>
          </w:tcPr>
          <w:p>
            <w:pPr>
              <w:spacing w:line="560" w:lineRule="exact"/>
              <w:jc w:val="left"/>
              <w:rPr>
                <w:rFonts w:hint="eastAsia" w:ascii="仿宋_GB2312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560" w:lineRule="exact"/>
        <w:jc w:val="left"/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附件3   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>单位员工名册</w:t>
      </w:r>
    </w:p>
    <w:tbl>
      <w:tblPr>
        <w:tblStyle w:val="8"/>
        <w:tblpPr w:leftFromText="180" w:rightFromText="180" w:vertAnchor="text" w:horzAnchor="page" w:tblpX="710" w:tblpY="458"/>
        <w:tblOverlap w:val="never"/>
        <w:tblW w:w="15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37"/>
        <w:gridCol w:w="5367"/>
        <w:gridCol w:w="3914"/>
        <w:gridCol w:w="1360"/>
        <w:gridCol w:w="1312"/>
        <w:gridCol w:w="1429"/>
      </w:tblGrid>
      <w:tr>
        <w:trPr>
          <w:trHeight w:val="1087" w:hRule="atLeast"/>
        </w:trPr>
        <w:tc>
          <w:tcPr>
            <w:tcW w:w="11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员工姓名</w:t>
            </w:r>
          </w:p>
        </w:tc>
        <w:tc>
          <w:tcPr>
            <w:tcW w:w="5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离深/返深情况（在相应情况处打“</w:t>
            </w:r>
            <w:r>
              <w:rPr>
                <w:rFonts w:hint="default" w:ascii="Arial" w:hAnsi="Arial" w:eastAsia="仿宋_GB2312" w:cs="Arial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”）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隔离和健康情况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（在相应情况处打“</w:t>
            </w:r>
            <w:r>
              <w:rPr>
                <w:rFonts w:hint="default" w:ascii="Arial" w:hAnsi="Arial" w:eastAsia="仿宋_GB2312" w:cs="Arial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”）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是否复工</w:t>
            </w:r>
          </w:p>
        </w:tc>
        <w:tc>
          <w:tcPr>
            <w:tcW w:w="13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近一月旅居史</w:t>
            </w: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乘坐交通工具情况</w:t>
            </w:r>
          </w:p>
        </w:tc>
      </w:tr>
      <w:tr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1月1日以来未离深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无与确诊患者或密切接触者的接触史；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与确诊患者或密切接触者的接触史：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有确诊患者有接触史；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）隔离期间确诊为新冠肺炎感染者；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）与确诊患者密切接触者有接触史。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（二）近期来深的人员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在疫情高发地区生活、旅行过；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未在疫情高发地区生活、旅行过且无接触史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）与确诊患者有接触史；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）隔离期间确诊为新冠肺炎感染者；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）与确诊患者密切接触者有接触史。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（三）尚未返深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1.在疫情高发地区尚未返深；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2.在其他地区尚未返深。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1.正在居家隔离，隔离期到   月   日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2.正在集中地隔离，隔离期到  月  日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3.已完成隔离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4.疑似病例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5.已确诊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6.经治疗出院康复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7.不需隔离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登记示例：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1月20日-1月25日在福建厦门</w:t>
            </w:r>
          </w:p>
        </w:tc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登记示例：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1月20日乘车G3077从深圳前往厦门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4</w:t>
      </w:r>
    </w:p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  <w:u w:val="none"/>
        </w:rPr>
      </w:pPr>
    </w:p>
    <w:tbl>
      <w:tblPr>
        <w:tblStyle w:val="8"/>
        <w:tblpPr w:leftFromText="180" w:rightFromText="180" w:vertAnchor="text" w:horzAnchor="page" w:tblpX="1567" w:tblpY="549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26"/>
        <w:gridCol w:w="165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福田区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  <w:t>企业复工复产备案表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员工总人数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  <w:t>24小时值班电话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复工人数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申请复工时间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月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7" w:hRule="atLeast"/>
        </w:trPr>
        <w:tc>
          <w:tcPr>
            <w:tcW w:w="2236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防控机制情况：</w:t>
            </w:r>
          </w:p>
          <w:p>
            <w:pPr>
              <w:spacing w:before="156" w:beforeLines="50" w:after="156" w:afterLines="50" w:line="44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tbl>
      <w:tblPr>
        <w:tblStyle w:val="8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473"/>
        <w:gridCol w:w="4558"/>
      </w:tblGrid>
      <w:tr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员工排查情况：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设施物资情况：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内部管理情况：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424" w:hRule="atLeast"/>
        </w:trPr>
        <w:tc>
          <w:tcPr>
            <w:tcW w:w="4558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备案企业盖章：</w:t>
            </w:r>
          </w:p>
        </w:tc>
        <w:tc>
          <w:tcPr>
            <w:tcW w:w="455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备案意见：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（疫情防控机构盖章）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福田区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企业复工复产疫情防控承诺书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</w:p>
    <w:p>
      <w:pPr>
        <w:jc w:val="both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疫情防控指挥部：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因生产经营需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要，我单位按照《福田区企业复工复产防疫工作标准化手册》要求，已完成复工复产前期各项准备，我单位经自查，已实现防控机制、员工排查、设施物资、内部管理、法律普及“五到位”。我单位承诺，严格执行《福田区企业复工复产防疫工作标准化手册》各项要求，切实落实防控主体责任，加强职工健康监测，完善相应设施设备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ind w:firstLine="4480" w:firstLineChars="14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承诺单位：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法定代表人：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时    间：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附件6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福田区企业复工复产联系方式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946"/>
        <w:gridCol w:w="24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区域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/部门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业务受理联系电话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福田区企业发展服务中心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82925718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zhongyufeng@szft.gov.cn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福田区发展和改革局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82918333-1402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福田区科技创新局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82918756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福田区工业和信息化局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82918333-2636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福田区司法局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82918941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福田区人力资源局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82917657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福田区住房建设局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82918333-2723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福田区文化广电旅游体育局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82918333-2381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福田区金融工作局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82918333-0736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市交通运输局福田管理局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83702606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yaojiaxin708@foxmail.com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园岭街道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25320119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ylbaj@szft.gov.cn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南园街道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83654882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nyajk@szft.gov.cn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福田街道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83813849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ftjd_qyfcfgbb@szft.gov.cn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沙头街道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83573925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83307557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83412569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sttjz@szft.gov.cn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梅林街道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83110003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23984430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mlajk@szft.gov.cn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华富街道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83356173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83358066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hfanquan@szft.gov.cn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香蜜湖街道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83702733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23913902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xmhtjz@szft.gov.cn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莲花街道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83079093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910686867@qq.com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华强北街道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华航社区工作站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82548619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99219159@qq.com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福强社区工作站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83223220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69520498@qq.com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荔村社区工作站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83358500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233717477@qq.com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华红社区工作站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83253153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278997622@qq.com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通新岭社区工作站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82103550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82103053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2903013445@qq.com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福保街道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82703102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82700387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fbb@szft.gov.cn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02219"/>
    <w:rsid w:val="5EAD2960"/>
    <w:rsid w:val="7B9FA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_fde0bf04-c12f-4cfb-a143-5ea41c91cded"/>
    <w:basedOn w:val="1"/>
    <w:qFormat/>
    <w:uiPriority w:val="1"/>
    <w:pPr>
      <w:ind w:left="110" w:right="413" w:firstLine="640"/>
    </w:pPr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5346</Words>
  <Characters>6316</Characters>
  <Lines>0</Lines>
  <Paragraphs>489</Paragraphs>
  <ScaleCrop>false</ScaleCrop>
  <LinksUpToDate>false</LinksUpToDate>
  <CharactersWithSpaces>6500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2020-02-16T18:54:00Z</dcterms:created>
  <dc:creator>小叶1425179503</dc:creator>
  <cp:lastModifiedBy>lichao</cp:lastModifiedBy>
  <cp:lastPrinted>2020-02-18T14:21:00Z</cp:lastPrinted>
  <dcterms:modified xsi:type="dcterms:W3CDTF">2020-02-19T16:45:58Z</dcterms:modified>
  <dc:title>福田区企业复工复产防疫工作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